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FC" w:rsidRDefault="007F43FC" w:rsidP="007F43FC">
      <w:pPr>
        <w:shd w:val="clear" w:color="auto" w:fill="FFFFFF"/>
        <w:spacing w:after="60" w:line="240" w:lineRule="auto"/>
        <w:outlineLvl w:val="0"/>
        <w:rPr>
          <w:rFonts w:ascii="Georgia" w:eastAsia="Times New Roman" w:hAnsi="Georgia" w:cs="Arial"/>
          <w:b/>
          <w:bCs/>
          <w:color w:val="111111"/>
          <w:kern w:val="36"/>
          <w:sz w:val="28"/>
          <w:szCs w:val="28"/>
        </w:rPr>
      </w:pPr>
      <w:bookmarkStart w:id="0" w:name="_GoBack"/>
      <w:bookmarkEnd w:id="0"/>
      <w:r w:rsidRPr="007F43FC">
        <w:rPr>
          <w:rFonts w:ascii="Georgia" w:eastAsia="Times New Roman" w:hAnsi="Georgia" w:cs="Arial"/>
          <w:b/>
          <w:bCs/>
          <w:color w:val="111111"/>
          <w:kern w:val="36"/>
          <w:sz w:val="28"/>
          <w:szCs w:val="28"/>
        </w:rPr>
        <w:t>More of This and Less of That: How Do You Score?</w:t>
      </w:r>
    </w:p>
    <w:p w:rsidR="007F43FC" w:rsidRDefault="007F43FC" w:rsidP="007F43FC">
      <w:pPr>
        <w:shd w:val="clear" w:color="auto" w:fill="FFFFFF"/>
        <w:spacing w:after="60" w:line="240" w:lineRule="auto"/>
        <w:outlineLvl w:val="0"/>
        <w:rPr>
          <w:rFonts w:ascii="Arial" w:eastAsia="Times New Roman" w:hAnsi="Arial" w:cs="Arial"/>
          <w:color w:val="333333"/>
          <w:sz w:val="18"/>
          <w:szCs w:val="18"/>
        </w:rPr>
      </w:pPr>
      <w:r>
        <w:rPr>
          <w:rFonts w:ascii="Georgia" w:eastAsia="Times New Roman" w:hAnsi="Georgia" w:cs="Arial"/>
          <w:b/>
          <w:bCs/>
          <w:color w:val="111111"/>
          <w:kern w:val="36"/>
          <w:sz w:val="24"/>
          <w:szCs w:val="24"/>
        </w:rPr>
        <w:t xml:space="preserve"> </w:t>
      </w:r>
      <w:r w:rsidRPr="007F43FC">
        <w:rPr>
          <w:rFonts w:ascii="Arial" w:eastAsia="Times New Roman" w:hAnsi="Arial" w:cs="Arial"/>
          <w:color w:val="333333"/>
          <w:sz w:val="18"/>
          <w:szCs w:val="18"/>
        </w:rPr>
        <w:t>By </w:t>
      </w:r>
      <w:hyperlink r:id="rId5" w:history="1">
        <w:r w:rsidRPr="007F43FC">
          <w:rPr>
            <w:rFonts w:ascii="Arial" w:eastAsia="Times New Roman" w:hAnsi="Arial" w:cs="Arial"/>
            <w:b/>
            <w:bCs/>
            <w:color w:val="333333"/>
            <w:sz w:val="18"/>
            <w:szCs w:val="18"/>
          </w:rPr>
          <w:t>Learning Forward</w:t>
        </w:r>
      </w:hyperlink>
      <w:r w:rsidRPr="007F43FC">
        <w:rPr>
          <w:rFonts w:ascii="Arial" w:eastAsia="Times New Roman" w:hAnsi="Arial" w:cs="Arial"/>
          <w:color w:val="333333"/>
          <w:sz w:val="18"/>
          <w:szCs w:val="18"/>
        </w:rPr>
        <w:t xml:space="preserve"> on January 22, </w:t>
      </w:r>
      <w:r>
        <w:rPr>
          <w:rFonts w:ascii="Arial" w:eastAsia="Times New Roman" w:hAnsi="Arial" w:cs="Arial"/>
          <w:color w:val="333333"/>
          <w:sz w:val="18"/>
          <w:szCs w:val="18"/>
        </w:rPr>
        <w:t>2014</w:t>
      </w:r>
    </w:p>
    <w:p w:rsidR="007F43FC" w:rsidRPr="007F43FC" w:rsidRDefault="007F43FC" w:rsidP="007F43FC">
      <w:pPr>
        <w:shd w:val="clear" w:color="auto" w:fill="FFFFFF"/>
        <w:spacing w:after="60" w:line="240" w:lineRule="auto"/>
        <w:outlineLvl w:val="0"/>
        <w:rPr>
          <w:rFonts w:ascii="Arial" w:eastAsia="Times New Roman" w:hAnsi="Arial" w:cs="Arial"/>
          <w:color w:val="000000"/>
          <w:sz w:val="24"/>
          <w:szCs w:val="24"/>
        </w:rPr>
      </w:pPr>
      <w:r w:rsidRPr="007F43FC">
        <w:rPr>
          <w:rFonts w:ascii="Arial" w:eastAsia="Times New Roman" w:hAnsi="Arial" w:cs="Arial"/>
          <w:color w:val="000000"/>
          <w:sz w:val="24"/>
          <w:szCs w:val="24"/>
        </w:rPr>
        <w:t>A few weeks ago I had the honor of presenting to many leaders at the U. S. Department of Education who agreed with us that professional learning can and must be improved. They also agreed that it is essential to promote, support, and sustain the changes we need to see made in schools.  But what are those changes? Just as we identify shifts for student learning called for by the Common Core, what are the required shifts that need to accompany them for professional learning?           </w:t>
      </w:r>
    </w:p>
    <w:p w:rsidR="007F43FC" w:rsidRPr="007F43FC" w:rsidRDefault="007F43FC" w:rsidP="007F43FC">
      <w:pPr>
        <w:shd w:val="clear" w:color="auto" w:fill="FFFFFF"/>
        <w:spacing w:before="100" w:beforeAutospacing="1" w:after="180" w:line="240" w:lineRule="auto"/>
        <w:rPr>
          <w:rFonts w:ascii="Arial" w:eastAsia="Times New Roman" w:hAnsi="Arial" w:cs="Arial"/>
          <w:color w:val="000000"/>
          <w:sz w:val="24"/>
          <w:szCs w:val="24"/>
        </w:rPr>
      </w:pPr>
      <w:r w:rsidRPr="007F43FC">
        <w:rPr>
          <w:rFonts w:ascii="Arial" w:eastAsia="Times New Roman" w:hAnsi="Arial" w:cs="Arial"/>
          <w:color w:val="000000"/>
          <w:sz w:val="24"/>
          <w:szCs w:val="24"/>
        </w:rPr>
        <w:t>In planning professional learning that leads to changed educator practices and improved student results, there are five shifts that must occur. These changes in practices will occur in schools and school systems that align planning, implementation, and evaluation with Learning Forward's Standards for Professional Learning. </w:t>
      </w:r>
    </w:p>
    <w:tbl>
      <w:tblPr>
        <w:tblW w:w="0" w:type="auto"/>
        <w:tblCellMar>
          <w:top w:w="60" w:type="dxa"/>
          <w:left w:w="60" w:type="dxa"/>
          <w:bottom w:w="60" w:type="dxa"/>
          <w:right w:w="60" w:type="dxa"/>
        </w:tblCellMar>
        <w:tblLook w:val="04A0" w:firstRow="1" w:lastRow="0" w:firstColumn="1" w:lastColumn="0" w:noHBand="0" w:noVBand="1"/>
      </w:tblPr>
      <w:tblGrid>
        <w:gridCol w:w="3600"/>
        <w:gridCol w:w="180"/>
        <w:gridCol w:w="5220"/>
      </w:tblGrid>
      <w:tr w:rsidR="007F43FC" w:rsidRPr="007F43FC" w:rsidTr="007F43FC">
        <w:tc>
          <w:tcPr>
            <w:tcW w:w="3600" w:type="dxa"/>
            <w:shd w:val="clear" w:color="auto" w:fill="333333"/>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b/>
                <w:bCs/>
                <w:color w:val="FFFFFF"/>
                <w:sz w:val="24"/>
                <w:szCs w:val="24"/>
              </w:rPr>
              <w:t>Less of this</w:t>
            </w:r>
          </w:p>
        </w:tc>
        <w:tc>
          <w:tcPr>
            <w:tcW w:w="120" w:type="dxa"/>
            <w:shd w:val="clear" w:color="auto" w:fill="333333"/>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b/>
                <w:bCs/>
                <w:sz w:val="24"/>
                <w:szCs w:val="24"/>
              </w:rPr>
              <w:t> </w:t>
            </w:r>
          </w:p>
        </w:tc>
        <w:tc>
          <w:tcPr>
            <w:tcW w:w="5220" w:type="dxa"/>
            <w:shd w:val="clear" w:color="auto" w:fill="333333"/>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b/>
                <w:bCs/>
                <w:color w:val="FFFFFF"/>
                <w:sz w:val="24"/>
                <w:szCs w:val="24"/>
              </w:rPr>
              <w:t>More of that</w:t>
            </w:r>
          </w:p>
        </w:tc>
      </w:tr>
      <w:tr w:rsidR="007F43FC" w:rsidRPr="007F43FC" w:rsidTr="007F43FC">
        <w:tc>
          <w:tcPr>
            <w:tcW w:w="3600" w:type="dxa"/>
            <w:shd w:val="clear" w:color="auto" w:fill="CCCCCC"/>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Driven by educator preference</w:t>
            </w:r>
          </w:p>
        </w:tc>
        <w:tc>
          <w:tcPr>
            <w:tcW w:w="120" w:type="dxa"/>
            <w:shd w:val="clear" w:color="auto" w:fill="CCCCCC"/>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 </w:t>
            </w:r>
          </w:p>
        </w:tc>
        <w:tc>
          <w:tcPr>
            <w:tcW w:w="5220" w:type="dxa"/>
            <w:shd w:val="clear" w:color="auto" w:fill="CCCCCC"/>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Driven by student, educator, and system data</w:t>
            </w:r>
          </w:p>
        </w:tc>
      </w:tr>
      <w:tr w:rsidR="007F43FC" w:rsidRPr="007F43FC" w:rsidTr="007F43FC">
        <w:tc>
          <w:tcPr>
            <w:tcW w:w="3600" w:type="dxa"/>
            <w:shd w:val="clear" w:color="auto" w:fill="EBEBEB"/>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Individual learning</w:t>
            </w:r>
          </w:p>
        </w:tc>
        <w:tc>
          <w:tcPr>
            <w:tcW w:w="120" w:type="dxa"/>
            <w:shd w:val="clear" w:color="auto" w:fill="EBEBEB"/>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 </w:t>
            </w:r>
          </w:p>
        </w:tc>
        <w:tc>
          <w:tcPr>
            <w:tcW w:w="5220" w:type="dxa"/>
            <w:shd w:val="clear" w:color="auto" w:fill="EBEBEB"/>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Collaborative team-based learning engaged in defined cycles of continuous learning to build deeper expertise, powerful lessons, and authentic and meaningful assessments</w:t>
            </w:r>
          </w:p>
        </w:tc>
      </w:tr>
      <w:tr w:rsidR="007F43FC" w:rsidRPr="007F43FC" w:rsidTr="007F43FC">
        <w:tc>
          <w:tcPr>
            <w:tcW w:w="3600" w:type="dxa"/>
            <w:shd w:val="clear" w:color="auto" w:fill="CCCCCC"/>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Large-group, formal, one-size-fits-all activities to build awareness and deliver content</w:t>
            </w:r>
          </w:p>
        </w:tc>
        <w:tc>
          <w:tcPr>
            <w:tcW w:w="120" w:type="dxa"/>
            <w:shd w:val="clear" w:color="auto" w:fill="CCCCCC"/>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 </w:t>
            </w:r>
          </w:p>
        </w:tc>
        <w:tc>
          <w:tcPr>
            <w:tcW w:w="5220" w:type="dxa"/>
            <w:shd w:val="clear" w:color="auto" w:fill="CCCCCC"/>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Transformative learning experiences that replicate expectations for classroom practice</w:t>
            </w:r>
          </w:p>
        </w:tc>
      </w:tr>
      <w:tr w:rsidR="007F43FC" w:rsidRPr="007F43FC" w:rsidTr="007F43FC">
        <w:tc>
          <w:tcPr>
            <w:tcW w:w="3600" w:type="dxa"/>
            <w:shd w:val="clear" w:color="auto" w:fill="EBEBEB"/>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Occasional, episodic "adult pull-out" learning opportunities</w:t>
            </w:r>
          </w:p>
        </w:tc>
        <w:tc>
          <w:tcPr>
            <w:tcW w:w="120" w:type="dxa"/>
            <w:shd w:val="clear" w:color="auto" w:fill="EBEBEB"/>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 </w:t>
            </w:r>
          </w:p>
        </w:tc>
        <w:tc>
          <w:tcPr>
            <w:tcW w:w="5220" w:type="dxa"/>
            <w:shd w:val="clear" w:color="auto" w:fill="EBEBEB"/>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Regularly scheduled learning opportunities as part of the work day and week</w:t>
            </w:r>
          </w:p>
        </w:tc>
      </w:tr>
      <w:tr w:rsidR="007F43FC" w:rsidRPr="007F43FC" w:rsidTr="007F43FC">
        <w:tc>
          <w:tcPr>
            <w:tcW w:w="3600" w:type="dxa"/>
            <w:shd w:val="clear" w:color="auto" w:fill="CCCCCC"/>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Low expectations or support for application of learning</w:t>
            </w:r>
          </w:p>
        </w:tc>
        <w:tc>
          <w:tcPr>
            <w:tcW w:w="120" w:type="dxa"/>
            <w:shd w:val="clear" w:color="auto" w:fill="CCCCCC"/>
            <w:hideMark/>
          </w:tcPr>
          <w:p w:rsidR="007F43FC" w:rsidRPr="007F43FC" w:rsidRDefault="007F43FC" w:rsidP="007F43FC">
            <w:pPr>
              <w:spacing w:after="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 </w:t>
            </w:r>
          </w:p>
        </w:tc>
        <w:tc>
          <w:tcPr>
            <w:tcW w:w="5220" w:type="dxa"/>
            <w:shd w:val="clear" w:color="auto" w:fill="CCCCCC"/>
            <w:hideMark/>
          </w:tcPr>
          <w:p w:rsidR="007F43FC" w:rsidRPr="007F43FC" w:rsidRDefault="007F43FC" w:rsidP="007F43FC">
            <w:pPr>
              <w:spacing w:before="100" w:beforeAutospacing="1" w:after="150" w:line="240" w:lineRule="auto"/>
              <w:rPr>
                <w:rFonts w:ascii="Times New Roman" w:eastAsia="Times New Roman" w:hAnsi="Times New Roman" w:cs="Times New Roman"/>
                <w:sz w:val="24"/>
                <w:szCs w:val="24"/>
              </w:rPr>
            </w:pPr>
            <w:r w:rsidRPr="007F43FC">
              <w:rPr>
                <w:rFonts w:ascii="Times New Roman" w:eastAsia="Times New Roman" w:hAnsi="Times New Roman" w:cs="Times New Roman"/>
                <w:sz w:val="24"/>
                <w:szCs w:val="24"/>
              </w:rPr>
              <w:t>High expectations for application of learning coupled with coaching and other forms of workplace support for implementation</w:t>
            </w:r>
          </w:p>
        </w:tc>
      </w:tr>
    </w:tbl>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color w:val="000000"/>
          <w:sz w:val="24"/>
          <w:szCs w:val="24"/>
        </w:rPr>
        <w:t>To see how your state, system, school, or learning team measures up on these five shifts, use this number system to score yourself in each of the five categories:</w:t>
      </w:r>
    </w:p>
    <w:p w:rsidR="007F43FC" w:rsidRPr="007F43FC" w:rsidRDefault="007F43FC" w:rsidP="007F43FC">
      <w:pPr>
        <w:shd w:val="clear" w:color="auto" w:fill="FFFFFF"/>
        <w:spacing w:before="100" w:beforeAutospacing="1" w:after="150" w:line="240" w:lineRule="auto"/>
        <w:ind w:left="450"/>
        <w:rPr>
          <w:rFonts w:ascii="Arial" w:eastAsia="Times New Roman" w:hAnsi="Arial" w:cs="Arial"/>
          <w:color w:val="000000"/>
          <w:sz w:val="24"/>
          <w:szCs w:val="24"/>
        </w:rPr>
      </w:pPr>
      <w:r>
        <w:rPr>
          <w:rFonts w:ascii="Arial" w:eastAsia="Times New Roman" w:hAnsi="Arial" w:cs="Arial"/>
          <w:color w:val="000000"/>
          <w:sz w:val="24"/>
          <w:szCs w:val="24"/>
        </w:rPr>
        <w:t>5 - </w:t>
      </w:r>
      <w:r w:rsidRPr="007F43FC">
        <w:rPr>
          <w:rFonts w:ascii="Arial" w:eastAsia="Times New Roman" w:hAnsi="Arial" w:cs="Arial"/>
          <w:color w:val="000000"/>
          <w:sz w:val="24"/>
          <w:szCs w:val="24"/>
        </w:rPr>
        <w:t xml:space="preserve">The More </w:t>
      </w:r>
      <w:proofErr w:type="gramStart"/>
      <w:r w:rsidRPr="007F43FC">
        <w:rPr>
          <w:rFonts w:ascii="Arial" w:eastAsia="Times New Roman" w:hAnsi="Arial" w:cs="Arial"/>
          <w:color w:val="000000"/>
          <w:sz w:val="24"/>
          <w:szCs w:val="24"/>
        </w:rPr>
        <w:t>category</w:t>
      </w:r>
      <w:proofErr w:type="gramEnd"/>
      <w:r w:rsidRPr="007F43FC">
        <w:rPr>
          <w:rFonts w:ascii="Arial" w:eastAsia="Times New Roman" w:hAnsi="Arial" w:cs="Arial"/>
          <w:color w:val="000000"/>
          <w:sz w:val="24"/>
          <w:szCs w:val="24"/>
        </w:rPr>
        <w:t xml:space="preserve"> defines how we work all the time.</w:t>
      </w:r>
    </w:p>
    <w:p w:rsidR="007F43FC" w:rsidRPr="007F43FC" w:rsidRDefault="007F43FC" w:rsidP="007F43FC">
      <w:pPr>
        <w:shd w:val="clear" w:color="auto" w:fill="FFFFFF"/>
        <w:spacing w:before="100" w:beforeAutospacing="1" w:after="150" w:line="240" w:lineRule="auto"/>
        <w:ind w:left="450"/>
        <w:rPr>
          <w:rFonts w:ascii="Arial" w:eastAsia="Times New Roman" w:hAnsi="Arial" w:cs="Arial"/>
          <w:color w:val="000000"/>
          <w:sz w:val="24"/>
          <w:szCs w:val="24"/>
        </w:rPr>
      </w:pPr>
      <w:r w:rsidRPr="007F43FC">
        <w:rPr>
          <w:rFonts w:ascii="Arial" w:eastAsia="Times New Roman" w:hAnsi="Arial" w:cs="Arial"/>
          <w:color w:val="000000"/>
          <w:sz w:val="24"/>
          <w:szCs w:val="24"/>
        </w:rPr>
        <w:t xml:space="preserve">4 - The More </w:t>
      </w:r>
      <w:proofErr w:type="gramStart"/>
      <w:r w:rsidRPr="007F43FC">
        <w:rPr>
          <w:rFonts w:ascii="Arial" w:eastAsia="Times New Roman" w:hAnsi="Arial" w:cs="Arial"/>
          <w:color w:val="000000"/>
          <w:sz w:val="24"/>
          <w:szCs w:val="24"/>
        </w:rPr>
        <w:t>category</w:t>
      </w:r>
      <w:proofErr w:type="gramEnd"/>
      <w:r w:rsidRPr="007F43FC">
        <w:rPr>
          <w:rFonts w:ascii="Arial" w:eastAsia="Times New Roman" w:hAnsi="Arial" w:cs="Arial"/>
          <w:color w:val="000000"/>
          <w:sz w:val="24"/>
          <w:szCs w:val="24"/>
        </w:rPr>
        <w:t xml:space="preserve"> defines how we work most of the time.</w:t>
      </w:r>
    </w:p>
    <w:p w:rsidR="007F43FC" w:rsidRPr="007F43FC" w:rsidRDefault="007F43FC" w:rsidP="007F43FC">
      <w:pPr>
        <w:shd w:val="clear" w:color="auto" w:fill="FFFFFF"/>
        <w:spacing w:before="100" w:beforeAutospacing="1" w:after="150" w:line="240" w:lineRule="auto"/>
        <w:ind w:left="450"/>
        <w:rPr>
          <w:rFonts w:ascii="Arial" w:eastAsia="Times New Roman" w:hAnsi="Arial" w:cs="Arial"/>
          <w:color w:val="000000"/>
          <w:sz w:val="24"/>
          <w:szCs w:val="24"/>
        </w:rPr>
      </w:pPr>
      <w:r w:rsidRPr="007F43FC">
        <w:rPr>
          <w:rFonts w:ascii="Arial" w:eastAsia="Times New Roman" w:hAnsi="Arial" w:cs="Arial"/>
          <w:color w:val="000000"/>
          <w:sz w:val="24"/>
          <w:szCs w:val="24"/>
        </w:rPr>
        <w:t>3 - We operate sometimes in the Less and other times in the More category.</w:t>
      </w:r>
    </w:p>
    <w:p w:rsidR="007F43FC" w:rsidRPr="007F43FC" w:rsidRDefault="007F43FC" w:rsidP="007F43FC">
      <w:pPr>
        <w:shd w:val="clear" w:color="auto" w:fill="FFFFFF"/>
        <w:spacing w:before="100" w:beforeAutospacing="1" w:after="150" w:line="240" w:lineRule="auto"/>
        <w:ind w:left="450"/>
        <w:rPr>
          <w:rFonts w:ascii="Arial" w:eastAsia="Times New Roman" w:hAnsi="Arial" w:cs="Arial"/>
          <w:color w:val="000000"/>
          <w:sz w:val="24"/>
          <w:szCs w:val="24"/>
        </w:rPr>
      </w:pPr>
      <w:proofErr w:type="gramStart"/>
      <w:r w:rsidRPr="007F43FC">
        <w:rPr>
          <w:rFonts w:ascii="Arial" w:eastAsia="Times New Roman" w:hAnsi="Arial" w:cs="Arial"/>
          <w:color w:val="000000"/>
          <w:sz w:val="24"/>
          <w:szCs w:val="24"/>
        </w:rPr>
        <w:t>2 - The Less category</w:t>
      </w:r>
      <w:proofErr w:type="gramEnd"/>
      <w:r w:rsidRPr="007F43FC">
        <w:rPr>
          <w:rFonts w:ascii="Arial" w:eastAsia="Times New Roman" w:hAnsi="Arial" w:cs="Arial"/>
          <w:color w:val="000000"/>
          <w:sz w:val="24"/>
          <w:szCs w:val="24"/>
        </w:rPr>
        <w:t xml:space="preserve"> defines how we work most of the time.</w:t>
      </w:r>
    </w:p>
    <w:p w:rsidR="007F43FC" w:rsidRPr="007F43FC" w:rsidRDefault="007F43FC" w:rsidP="007F43FC">
      <w:pPr>
        <w:shd w:val="clear" w:color="auto" w:fill="FFFFFF"/>
        <w:spacing w:before="100" w:beforeAutospacing="1" w:after="150" w:line="240" w:lineRule="auto"/>
        <w:ind w:left="450"/>
        <w:rPr>
          <w:rFonts w:ascii="Arial" w:eastAsia="Times New Roman" w:hAnsi="Arial" w:cs="Arial"/>
          <w:color w:val="000000"/>
          <w:sz w:val="24"/>
          <w:szCs w:val="24"/>
        </w:rPr>
      </w:pPr>
      <w:proofErr w:type="gramStart"/>
      <w:r>
        <w:rPr>
          <w:rFonts w:ascii="Arial" w:eastAsia="Times New Roman" w:hAnsi="Arial" w:cs="Arial"/>
          <w:color w:val="000000"/>
          <w:sz w:val="24"/>
          <w:szCs w:val="24"/>
        </w:rPr>
        <w:t>1 - </w:t>
      </w:r>
      <w:r w:rsidRPr="007F43FC">
        <w:rPr>
          <w:rFonts w:ascii="Arial" w:eastAsia="Times New Roman" w:hAnsi="Arial" w:cs="Arial"/>
          <w:color w:val="000000"/>
          <w:sz w:val="24"/>
          <w:szCs w:val="24"/>
        </w:rPr>
        <w:t>The Less category</w:t>
      </w:r>
      <w:proofErr w:type="gramEnd"/>
      <w:r w:rsidRPr="007F43FC">
        <w:rPr>
          <w:rFonts w:ascii="Arial" w:eastAsia="Times New Roman" w:hAnsi="Arial" w:cs="Arial"/>
          <w:color w:val="000000"/>
          <w:sz w:val="24"/>
          <w:szCs w:val="24"/>
        </w:rPr>
        <w:t xml:space="preserve"> is most characteristic of how we work.</w:t>
      </w:r>
    </w:p>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b/>
          <w:bCs/>
          <w:color w:val="000000"/>
          <w:sz w:val="24"/>
          <w:szCs w:val="24"/>
        </w:rPr>
        <w:lastRenderedPageBreak/>
        <w:t>If you scored 21-25</w:t>
      </w:r>
      <w:r w:rsidRPr="007F43FC">
        <w:rPr>
          <w:rFonts w:ascii="Arial" w:eastAsia="Times New Roman" w:hAnsi="Arial" w:cs="Arial"/>
          <w:color w:val="000000"/>
          <w:sz w:val="24"/>
          <w:szCs w:val="24"/>
        </w:rPr>
        <w:t> - Give yourselves a hand. More importantly, give some others a hand; they can benefit from your support.</w:t>
      </w:r>
    </w:p>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b/>
          <w:bCs/>
          <w:color w:val="000000"/>
          <w:sz w:val="24"/>
          <w:szCs w:val="24"/>
        </w:rPr>
        <w:t>If you scored 17-20</w:t>
      </w:r>
      <w:r w:rsidRPr="007F43FC">
        <w:rPr>
          <w:rFonts w:ascii="Arial" w:eastAsia="Times New Roman" w:hAnsi="Arial" w:cs="Arial"/>
          <w:color w:val="000000"/>
          <w:sz w:val="24"/>
          <w:szCs w:val="24"/>
        </w:rPr>
        <w:t> - Feel good about being on the right track and recognizing what is essential for professional learning to achieve better outcomes.</w:t>
      </w:r>
    </w:p>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b/>
          <w:bCs/>
          <w:color w:val="000000"/>
          <w:sz w:val="24"/>
          <w:szCs w:val="24"/>
        </w:rPr>
        <w:t>If you scored 13-16</w:t>
      </w:r>
      <w:r w:rsidRPr="007F43FC">
        <w:rPr>
          <w:rFonts w:ascii="Arial" w:eastAsia="Times New Roman" w:hAnsi="Arial" w:cs="Arial"/>
          <w:color w:val="000000"/>
          <w:sz w:val="24"/>
          <w:szCs w:val="24"/>
        </w:rPr>
        <w:t> - Write an action plan on what steps you will take in the next few months to move yourselves more quickly along the continuum of effectiveness.</w:t>
      </w:r>
    </w:p>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b/>
          <w:bCs/>
          <w:color w:val="000000"/>
          <w:sz w:val="24"/>
          <w:szCs w:val="24"/>
        </w:rPr>
        <w:t>If you scored 9-12</w:t>
      </w:r>
      <w:r w:rsidRPr="007F43FC">
        <w:rPr>
          <w:rFonts w:ascii="Arial" w:eastAsia="Times New Roman" w:hAnsi="Arial" w:cs="Arial"/>
          <w:color w:val="000000"/>
          <w:sz w:val="24"/>
          <w:szCs w:val="24"/>
        </w:rPr>
        <w:t> - Seek some views of others on what you can do to improve your professional learning and the strategies you are currently employing.</w:t>
      </w:r>
    </w:p>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b/>
          <w:bCs/>
          <w:color w:val="000000"/>
          <w:sz w:val="24"/>
          <w:szCs w:val="24"/>
        </w:rPr>
        <w:t>If you scored 5-8</w:t>
      </w:r>
      <w:r w:rsidRPr="007F43FC">
        <w:rPr>
          <w:rFonts w:ascii="Arial" w:eastAsia="Times New Roman" w:hAnsi="Arial" w:cs="Arial"/>
          <w:color w:val="000000"/>
          <w:sz w:val="24"/>
          <w:szCs w:val="24"/>
        </w:rPr>
        <w:t> - It's time to redesign professional learning! Share this post with others on your team and start a discussion about effective professional learning that impacts educator practice and student achievement.</w:t>
      </w:r>
    </w:p>
    <w:p w:rsidR="007F43FC" w:rsidRPr="007F43FC" w:rsidRDefault="007F43FC" w:rsidP="007F43FC">
      <w:pPr>
        <w:shd w:val="clear" w:color="auto" w:fill="FFFFFF"/>
        <w:spacing w:before="100" w:beforeAutospacing="1" w:after="150" w:line="240" w:lineRule="auto"/>
        <w:rPr>
          <w:rFonts w:ascii="Arial" w:eastAsia="Times New Roman" w:hAnsi="Arial" w:cs="Arial"/>
          <w:color w:val="000000"/>
          <w:sz w:val="24"/>
          <w:szCs w:val="24"/>
        </w:rPr>
      </w:pPr>
      <w:r w:rsidRPr="007F43FC">
        <w:rPr>
          <w:rFonts w:ascii="Arial" w:eastAsia="Times New Roman" w:hAnsi="Arial" w:cs="Arial"/>
          <w:color w:val="000000"/>
          <w:sz w:val="24"/>
          <w:szCs w:val="24"/>
        </w:rPr>
        <w:t>For my next post, I'll write about five shifts we should expect of our policy makers and leaders!</w:t>
      </w:r>
    </w:p>
    <w:p w:rsidR="007F43FC" w:rsidRPr="007F43FC" w:rsidRDefault="007F43FC" w:rsidP="007F43FC">
      <w:pPr>
        <w:shd w:val="clear" w:color="auto" w:fill="FFFFFF"/>
        <w:spacing w:before="100" w:beforeAutospacing="1" w:after="180" w:line="240" w:lineRule="auto"/>
        <w:rPr>
          <w:rFonts w:ascii="Arial" w:eastAsia="Times New Roman" w:hAnsi="Arial" w:cs="Arial"/>
          <w:color w:val="000000"/>
          <w:sz w:val="24"/>
          <w:szCs w:val="24"/>
        </w:rPr>
      </w:pPr>
      <w:r w:rsidRPr="007F43FC">
        <w:rPr>
          <w:rFonts w:ascii="Arial" w:eastAsia="Times New Roman" w:hAnsi="Arial" w:cs="Arial"/>
          <w:b/>
          <w:bCs/>
          <w:color w:val="000000"/>
          <w:sz w:val="24"/>
          <w:szCs w:val="24"/>
        </w:rPr>
        <w:t>Stephanie Hirsh</w:t>
      </w:r>
      <w:r w:rsidRPr="007F43FC">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7F43FC">
        <w:rPr>
          <w:rFonts w:ascii="Arial" w:eastAsia="Times New Roman" w:hAnsi="Arial" w:cs="Arial"/>
          <w:color w:val="000000"/>
          <w:sz w:val="24"/>
          <w:szCs w:val="24"/>
        </w:rPr>
        <w:t>Executive Director,</w:t>
      </w:r>
      <w:hyperlink r:id="rId6" w:history="1">
        <w:r w:rsidRPr="007F43FC">
          <w:rPr>
            <w:rFonts w:ascii="Arial" w:eastAsia="Times New Roman" w:hAnsi="Arial" w:cs="Arial"/>
            <w:b/>
            <w:bCs/>
            <w:color w:val="336699"/>
            <w:sz w:val="24"/>
            <w:szCs w:val="24"/>
          </w:rPr>
          <w:t> Learning Forward</w:t>
        </w:r>
        <w:hyperlink r:id="rId7" w:history="1">
          <w:r w:rsidRPr="007F43FC">
            <w:rPr>
              <w:rFonts w:ascii="Arial" w:eastAsia="Times New Roman" w:hAnsi="Arial" w:cs="Arial"/>
              <w:b/>
              <w:bCs/>
              <w:color w:val="336699"/>
              <w:sz w:val="24"/>
              <w:szCs w:val="24"/>
            </w:rPr>
            <w:t>@HirshLF</w:t>
          </w:r>
        </w:hyperlink>
        <w:r w:rsidRPr="007F43FC">
          <w:rPr>
            <w:rFonts w:ascii="Arial" w:eastAsia="Times New Roman" w:hAnsi="Arial" w:cs="Arial"/>
            <w:b/>
            <w:bCs/>
            <w:color w:val="336699"/>
            <w:sz w:val="24"/>
            <w:szCs w:val="24"/>
          </w:rPr>
          <w:br/>
        </w:r>
      </w:hyperlink>
      <w:r w:rsidRPr="007F43FC">
        <w:rPr>
          <w:rFonts w:ascii="Arial" w:eastAsia="Times New Roman" w:hAnsi="Arial" w:cs="Arial"/>
          <w:color w:val="000000"/>
          <w:sz w:val="24"/>
          <w:szCs w:val="24"/>
        </w:rPr>
        <w:t xml:space="preserve"> </w:t>
      </w:r>
    </w:p>
    <w:p w:rsidR="001A5D06" w:rsidRDefault="001A5D06"/>
    <w:sectPr w:rsidR="001A5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FC"/>
    <w:rsid w:val="000D7F2E"/>
    <w:rsid w:val="001A5D06"/>
    <w:rsid w:val="007F43FC"/>
    <w:rsid w:val="00852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3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FC"/>
    <w:rPr>
      <w:rFonts w:ascii="Times New Roman" w:eastAsia="Times New Roman" w:hAnsi="Times New Roman" w:cs="Times New Roman"/>
      <w:b/>
      <w:bCs/>
      <w:kern w:val="36"/>
      <w:sz w:val="48"/>
      <w:szCs w:val="48"/>
    </w:rPr>
  </w:style>
  <w:style w:type="character" w:customStyle="1" w:styleId="byline">
    <w:name w:val="byline"/>
    <w:basedOn w:val="DefaultParagraphFont"/>
    <w:rsid w:val="007F43FC"/>
  </w:style>
  <w:style w:type="character" w:customStyle="1" w:styleId="apple-converted-space">
    <w:name w:val="apple-converted-space"/>
    <w:basedOn w:val="DefaultParagraphFont"/>
    <w:rsid w:val="007F43FC"/>
  </w:style>
  <w:style w:type="character" w:customStyle="1" w:styleId="vcard">
    <w:name w:val="vcard"/>
    <w:basedOn w:val="DefaultParagraphFont"/>
    <w:rsid w:val="007F43FC"/>
  </w:style>
  <w:style w:type="character" w:styleId="Hyperlink">
    <w:name w:val="Hyperlink"/>
    <w:basedOn w:val="DefaultParagraphFont"/>
    <w:uiPriority w:val="99"/>
    <w:semiHidden/>
    <w:unhideWhenUsed/>
    <w:rsid w:val="007F43FC"/>
    <w:rPr>
      <w:color w:val="0000FF"/>
      <w:u w:val="single"/>
    </w:rPr>
  </w:style>
  <w:style w:type="character" w:styleId="Strong">
    <w:name w:val="Strong"/>
    <w:basedOn w:val="DefaultParagraphFont"/>
    <w:uiPriority w:val="22"/>
    <w:qFormat/>
    <w:rsid w:val="007F43FC"/>
    <w:rPr>
      <w:b/>
      <w:bCs/>
    </w:rPr>
  </w:style>
  <w:style w:type="paragraph" w:styleId="NormalWeb">
    <w:name w:val="Normal (Web)"/>
    <w:basedOn w:val="Normal"/>
    <w:uiPriority w:val="99"/>
    <w:unhideWhenUsed/>
    <w:rsid w:val="007F43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4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3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3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FC"/>
    <w:rPr>
      <w:rFonts w:ascii="Times New Roman" w:eastAsia="Times New Roman" w:hAnsi="Times New Roman" w:cs="Times New Roman"/>
      <w:b/>
      <w:bCs/>
      <w:kern w:val="36"/>
      <w:sz w:val="48"/>
      <w:szCs w:val="48"/>
    </w:rPr>
  </w:style>
  <w:style w:type="character" w:customStyle="1" w:styleId="byline">
    <w:name w:val="byline"/>
    <w:basedOn w:val="DefaultParagraphFont"/>
    <w:rsid w:val="007F43FC"/>
  </w:style>
  <w:style w:type="character" w:customStyle="1" w:styleId="apple-converted-space">
    <w:name w:val="apple-converted-space"/>
    <w:basedOn w:val="DefaultParagraphFont"/>
    <w:rsid w:val="007F43FC"/>
  </w:style>
  <w:style w:type="character" w:customStyle="1" w:styleId="vcard">
    <w:name w:val="vcard"/>
    <w:basedOn w:val="DefaultParagraphFont"/>
    <w:rsid w:val="007F43FC"/>
  </w:style>
  <w:style w:type="character" w:styleId="Hyperlink">
    <w:name w:val="Hyperlink"/>
    <w:basedOn w:val="DefaultParagraphFont"/>
    <w:uiPriority w:val="99"/>
    <w:semiHidden/>
    <w:unhideWhenUsed/>
    <w:rsid w:val="007F43FC"/>
    <w:rPr>
      <w:color w:val="0000FF"/>
      <w:u w:val="single"/>
    </w:rPr>
  </w:style>
  <w:style w:type="character" w:styleId="Strong">
    <w:name w:val="Strong"/>
    <w:basedOn w:val="DefaultParagraphFont"/>
    <w:uiPriority w:val="22"/>
    <w:qFormat/>
    <w:rsid w:val="007F43FC"/>
    <w:rPr>
      <w:b/>
      <w:bCs/>
    </w:rPr>
  </w:style>
  <w:style w:type="paragraph" w:styleId="NormalWeb">
    <w:name w:val="Normal (Web)"/>
    <w:basedOn w:val="Normal"/>
    <w:uiPriority w:val="99"/>
    <w:unhideWhenUsed/>
    <w:rsid w:val="007F43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4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29452">
      <w:bodyDiv w:val="1"/>
      <w:marLeft w:val="0"/>
      <w:marRight w:val="0"/>
      <w:marTop w:val="0"/>
      <w:marBottom w:val="0"/>
      <w:divBdr>
        <w:top w:val="none" w:sz="0" w:space="0" w:color="auto"/>
        <w:left w:val="none" w:sz="0" w:space="0" w:color="auto"/>
        <w:bottom w:val="none" w:sz="0" w:space="0" w:color="auto"/>
        <w:right w:val="none" w:sz="0" w:space="0" w:color="auto"/>
      </w:divBdr>
      <w:divsChild>
        <w:div w:id="1833327911">
          <w:marLeft w:val="0"/>
          <w:marRight w:val="0"/>
          <w:marTop w:val="0"/>
          <w:marBottom w:val="180"/>
          <w:divBdr>
            <w:top w:val="none" w:sz="0" w:space="0" w:color="auto"/>
            <w:left w:val="none" w:sz="0" w:space="0" w:color="auto"/>
            <w:bottom w:val="none" w:sz="0" w:space="0" w:color="auto"/>
            <w:right w:val="none" w:sz="0" w:space="0" w:color="auto"/>
          </w:divBdr>
          <w:divsChild>
            <w:div w:id="286812140">
              <w:marLeft w:val="0"/>
              <w:marRight w:val="0"/>
              <w:marTop w:val="0"/>
              <w:marBottom w:val="0"/>
              <w:divBdr>
                <w:top w:val="none" w:sz="0" w:space="0" w:color="auto"/>
                <w:left w:val="none" w:sz="0" w:space="0" w:color="auto"/>
                <w:bottom w:val="none" w:sz="0" w:space="0" w:color="auto"/>
                <w:right w:val="none" w:sz="0" w:space="0" w:color="auto"/>
              </w:divBdr>
            </w:div>
          </w:divsChild>
        </w:div>
        <w:div w:id="1627930159">
          <w:marLeft w:val="0"/>
          <w:marRight w:val="0"/>
          <w:marTop w:val="0"/>
          <w:marBottom w:val="180"/>
          <w:divBdr>
            <w:top w:val="none" w:sz="0" w:space="0" w:color="auto"/>
            <w:left w:val="none" w:sz="0" w:space="0" w:color="auto"/>
            <w:bottom w:val="none" w:sz="0" w:space="0" w:color="auto"/>
            <w:right w:val="none" w:sz="0" w:space="0" w:color="auto"/>
          </w:divBdr>
          <w:divsChild>
            <w:div w:id="13253571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arningforward.org/index.cfm" TargetMode="External"/><Relationship Id="rId6" Type="http://schemas.openxmlformats.org/officeDocument/2006/relationships/hyperlink" Target="http://www.learningforward.org/" TargetMode="External"/><Relationship Id="rId7" Type="http://schemas.openxmlformats.org/officeDocument/2006/relationships/hyperlink" Target="http://twitter.com/HirshL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USD 308 Hutchinson Public Schools</cp:lastModifiedBy>
  <cp:revision>2</cp:revision>
  <cp:lastPrinted>2014-01-27T02:34:00Z</cp:lastPrinted>
  <dcterms:created xsi:type="dcterms:W3CDTF">2014-04-08T21:36:00Z</dcterms:created>
  <dcterms:modified xsi:type="dcterms:W3CDTF">2014-04-08T21:36:00Z</dcterms:modified>
</cp:coreProperties>
</file>